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53D36">
      <w:pPr>
        <w:tabs>
          <w:tab w:val="right" w:pos="8730"/>
        </w:tabs>
        <w:spacing w:line="580" w:lineRule="exact"/>
        <w:outlineLvl w:val="0"/>
        <w:rPr>
          <w:rFonts w:hint="eastAsia" w:ascii="黑体" w:hAnsi="黑体" w:eastAsia="黑体"/>
          <w:color w:val="000000"/>
          <w:szCs w:val="32"/>
        </w:rPr>
      </w:pPr>
      <w:r>
        <w:rPr>
          <w:rFonts w:hint="eastAsia" w:ascii="黑体" w:hAnsi="黑体" w:eastAsia="黑体"/>
          <w:color w:val="000000"/>
          <w:szCs w:val="32"/>
        </w:rPr>
        <w:t>附件4</w:t>
      </w:r>
    </w:p>
    <w:p w14:paraId="30BA3608">
      <w:pPr>
        <w:spacing w:after="156" w:afterLines="50" w:line="600" w:lineRule="exact"/>
        <w:jc w:val="center"/>
        <w:rPr>
          <w:rFonts w:hint="eastAsia" w:ascii="文星标宋" w:hAnsi="文星标宋" w:eastAsia="文星标宋" w:cs="文星标宋"/>
          <w:color w:val="000000"/>
          <w:sz w:val="44"/>
          <w:szCs w:val="44"/>
        </w:rPr>
      </w:pPr>
      <w:r>
        <w:rPr>
          <w:rFonts w:hint="eastAsia" w:ascii="文星标宋" w:hAnsi="文星标宋" w:eastAsia="文星标宋" w:cs="文星标宋"/>
          <w:color w:val="000000"/>
          <w:sz w:val="44"/>
          <w:szCs w:val="44"/>
        </w:rPr>
        <w:t>中国新闻奖参评作品推荐表</w:t>
      </w:r>
    </w:p>
    <w:tbl>
      <w:tblPr>
        <w:tblStyle w:val="6"/>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48"/>
        <w:gridCol w:w="264"/>
        <w:gridCol w:w="143"/>
        <w:gridCol w:w="486"/>
        <w:gridCol w:w="259"/>
        <w:gridCol w:w="1109"/>
        <w:gridCol w:w="214"/>
        <w:gridCol w:w="962"/>
        <w:gridCol w:w="43"/>
        <w:gridCol w:w="872"/>
        <w:gridCol w:w="947"/>
        <w:gridCol w:w="197"/>
        <w:gridCol w:w="423"/>
        <w:gridCol w:w="451"/>
        <w:gridCol w:w="671"/>
        <w:gridCol w:w="1532"/>
      </w:tblGrid>
      <w:tr w14:paraId="2C07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exact"/>
        </w:trPr>
        <w:tc>
          <w:tcPr>
            <w:tcW w:w="992" w:type="dxa"/>
            <w:tcBorders>
              <w:tl2br w:val="nil"/>
              <w:tr2bl w:val="nil"/>
            </w:tcBorders>
            <w:vAlign w:val="center"/>
          </w:tcPr>
          <w:p w14:paraId="72B79C95">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08FEEB81">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9"/>
            <w:tcBorders>
              <w:tl2br w:val="nil"/>
              <w:tr2bl w:val="nil"/>
            </w:tcBorders>
            <w:vAlign w:val="center"/>
          </w:tcPr>
          <w:p w14:paraId="369D7294">
            <w:pPr>
              <w:spacing w:line="240" w:lineRule="exact"/>
              <w:jc w:val="left"/>
              <w:rPr>
                <w:rFonts w:hint="eastAsia" w:ascii="仿宋" w:hAnsi="仿宋" w:eastAsia="仿宋" w:cs="仿宋"/>
                <w:color w:val="000000"/>
                <w:sz w:val="21"/>
                <w:szCs w:val="15"/>
              </w:rPr>
            </w:pPr>
            <w:r>
              <w:rPr>
                <w:rFonts w:ascii="仿宋" w:hAnsi="仿宋" w:eastAsia="仿宋" w:cs="Times New Roman"/>
                <w:sz w:val="21"/>
                <w:szCs w:val="21"/>
              </w:rPr>
              <w:t>“探项目看发展”——济南“项目提升年”大型采访活动</w:t>
            </w:r>
          </w:p>
        </w:tc>
        <w:tc>
          <w:tcPr>
            <w:tcW w:w="1819" w:type="dxa"/>
            <w:gridSpan w:val="2"/>
            <w:tcBorders>
              <w:tl2br w:val="nil"/>
              <w:tr2bl w:val="nil"/>
            </w:tcBorders>
            <w:vAlign w:val="center"/>
          </w:tcPr>
          <w:p w14:paraId="514172E1">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56E0F6C8">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5"/>
            <w:tcBorders>
              <w:tl2br w:val="nil"/>
              <w:tr2bl w:val="nil"/>
            </w:tcBorders>
            <w:vAlign w:val="center"/>
          </w:tcPr>
          <w:p w14:paraId="0F6836B8">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重大主题报道</w:t>
            </w:r>
          </w:p>
        </w:tc>
      </w:tr>
      <w:tr w14:paraId="310B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505B884">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78466EA">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9"/>
            <w:vMerge w:val="restart"/>
            <w:tcBorders>
              <w:tl2br w:val="nil"/>
              <w:tr2bl w:val="nil"/>
            </w:tcBorders>
            <w:vAlign w:val="center"/>
          </w:tcPr>
          <w:p w14:paraId="7D6CD301">
            <w:pPr>
              <w:spacing w:line="240" w:lineRule="exact"/>
              <w:rPr>
                <w:rFonts w:hint="eastAsia" w:ascii="仿宋" w:hAnsi="仿宋" w:eastAsia="仿宋" w:cs="仿宋"/>
                <w:color w:val="000000"/>
                <w:sz w:val="21"/>
                <w:szCs w:val="15"/>
              </w:rPr>
            </w:pPr>
            <w:r>
              <w:rPr>
                <w:rFonts w:hint="eastAsia" w:ascii="仿宋" w:hAnsi="仿宋" w:eastAsia="仿宋"/>
                <w:color w:val="000000" w:themeColor="text1"/>
                <w:sz w:val="24"/>
                <w14:textFill>
                  <w14:solidFill>
                    <w14:schemeClr w14:val="tx1"/>
                  </w14:solidFill>
                </w14:textFill>
              </w:rPr>
              <w:t>1632；1665；1589。</w:t>
            </w:r>
          </w:p>
        </w:tc>
        <w:tc>
          <w:tcPr>
            <w:tcW w:w="1819" w:type="dxa"/>
            <w:gridSpan w:val="2"/>
            <w:tcBorders>
              <w:tl2br w:val="nil"/>
              <w:tr2bl w:val="nil"/>
            </w:tcBorders>
            <w:vAlign w:val="center"/>
          </w:tcPr>
          <w:p w14:paraId="52E7CFD0">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5"/>
            <w:tcBorders>
              <w:tl2br w:val="nil"/>
              <w:tr2bl w:val="nil"/>
            </w:tcBorders>
            <w:vAlign w:val="center"/>
          </w:tcPr>
          <w:p w14:paraId="221C418C">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通讯</w:t>
            </w:r>
          </w:p>
        </w:tc>
      </w:tr>
      <w:tr w14:paraId="77D1A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19085769">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p>
        </w:tc>
        <w:tc>
          <w:tcPr>
            <w:tcW w:w="3728" w:type="dxa"/>
            <w:gridSpan w:val="9"/>
            <w:vMerge w:val="continue"/>
            <w:tcBorders>
              <w:tl2br w:val="nil"/>
              <w:tr2bl w:val="nil"/>
            </w:tcBorders>
            <w:vAlign w:val="center"/>
          </w:tcPr>
          <w:p w14:paraId="700E0659">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65166ECE">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5"/>
            <w:tcBorders>
              <w:tl2br w:val="nil"/>
              <w:tr2bl w:val="nil"/>
            </w:tcBorders>
            <w:vAlign w:val="center"/>
          </w:tcPr>
          <w:p w14:paraId="28A5B306">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中文</w:t>
            </w:r>
          </w:p>
        </w:tc>
      </w:tr>
      <w:tr w14:paraId="641CE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41E7695D">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65C1F8D0">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9"/>
            <w:tcBorders>
              <w:tl2br w:val="nil"/>
              <w:tr2bl w:val="nil"/>
            </w:tcBorders>
            <w:vAlign w:val="center"/>
          </w:tcPr>
          <w:p w14:paraId="5D733035">
            <w:pPr>
              <w:spacing w:line="240" w:lineRule="exact"/>
              <w:rPr>
                <w:rFonts w:hint="eastAsia" w:ascii="华文中宋" w:hAnsi="华文中宋" w:eastAsia="华文中宋"/>
                <w:color w:val="000000"/>
                <w:sz w:val="21"/>
                <w:szCs w:val="21"/>
              </w:rPr>
            </w:pPr>
            <w:r>
              <w:rPr>
                <w:rFonts w:hint="eastAsia" w:ascii="仿宋" w:hAnsi="仿宋" w:eastAsia="仿宋" w:cs="仿宋"/>
                <w:color w:val="000000"/>
                <w:sz w:val="21"/>
                <w:szCs w:val="15"/>
              </w:rPr>
              <w:t>胡思永、韩劲松</w:t>
            </w:r>
          </w:p>
        </w:tc>
        <w:tc>
          <w:tcPr>
            <w:tcW w:w="1819" w:type="dxa"/>
            <w:gridSpan w:val="2"/>
            <w:tcBorders>
              <w:tl2br w:val="nil"/>
              <w:tr2bl w:val="nil"/>
            </w:tcBorders>
            <w:vAlign w:val="center"/>
          </w:tcPr>
          <w:p w14:paraId="270D49A2">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5"/>
            <w:tcBorders>
              <w:tl2br w:val="nil"/>
              <w:tr2bl w:val="nil"/>
            </w:tcBorders>
            <w:vAlign w:val="center"/>
          </w:tcPr>
          <w:p w14:paraId="43CE804D">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孙立忠、袁家照</w:t>
            </w:r>
          </w:p>
        </w:tc>
      </w:tr>
      <w:tr w14:paraId="7B436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4436EA68">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9CB6AE1">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9"/>
            <w:tcBorders>
              <w:tl2br w:val="nil"/>
              <w:tr2bl w:val="nil"/>
            </w:tcBorders>
            <w:vAlign w:val="center"/>
          </w:tcPr>
          <w:p w14:paraId="5BCFFE12">
            <w:pPr>
              <w:spacing w:line="260" w:lineRule="exact"/>
              <w:rPr>
                <w:rFonts w:hint="eastAsia" w:ascii="方正仿宋_GB2312" w:hAnsi="仿宋"/>
                <w:color w:val="000000"/>
                <w:szCs w:val="21"/>
              </w:rPr>
            </w:pPr>
            <w:r>
              <w:rPr>
                <w:rFonts w:hint="eastAsia" w:ascii="仿宋" w:hAnsi="仿宋" w:eastAsia="仿宋" w:cs="仿宋"/>
                <w:color w:val="000000"/>
                <w:spacing w:val="-6"/>
                <w:sz w:val="21"/>
                <w:szCs w:val="15"/>
              </w:rPr>
              <w:t>济南日报报业集团</w:t>
            </w:r>
          </w:p>
        </w:tc>
        <w:tc>
          <w:tcPr>
            <w:tcW w:w="1819" w:type="dxa"/>
            <w:gridSpan w:val="2"/>
            <w:tcBorders>
              <w:tl2br w:val="nil"/>
              <w:tr2bl w:val="nil"/>
            </w:tcBorders>
            <w:vAlign w:val="center"/>
          </w:tcPr>
          <w:p w14:paraId="5552EB8E">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发布端/账号/</w:t>
            </w:r>
          </w:p>
          <w:p w14:paraId="69237974">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媒体名称</w:t>
            </w:r>
          </w:p>
        </w:tc>
        <w:tc>
          <w:tcPr>
            <w:tcW w:w="3274" w:type="dxa"/>
            <w:gridSpan w:val="5"/>
            <w:tcBorders>
              <w:tl2br w:val="nil"/>
              <w:tr2bl w:val="nil"/>
            </w:tcBorders>
            <w:vAlign w:val="center"/>
          </w:tcPr>
          <w:p w14:paraId="10F7534D">
            <w:pPr>
              <w:spacing w:line="240" w:lineRule="exact"/>
              <w:rPr>
                <w:rFonts w:hint="eastAsia" w:ascii="仿宋" w:hAnsi="仿宋" w:eastAsia="仿宋" w:cs="仿宋"/>
                <w:color w:val="000000"/>
                <w:sz w:val="21"/>
                <w:szCs w:val="15"/>
              </w:rPr>
            </w:pPr>
            <w:r>
              <w:rPr>
                <w:rFonts w:hint="eastAsia" w:ascii="仿宋" w:hAnsi="仿宋" w:eastAsia="仿宋" w:cs="仿宋"/>
                <w:color w:val="000000"/>
                <w:sz w:val="21"/>
                <w:szCs w:val="15"/>
              </w:rPr>
              <w:t>济南日报</w:t>
            </w:r>
          </w:p>
        </w:tc>
      </w:tr>
      <w:tr w14:paraId="0783B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exact"/>
        </w:trPr>
        <w:tc>
          <w:tcPr>
            <w:tcW w:w="1504" w:type="dxa"/>
            <w:gridSpan w:val="3"/>
            <w:tcBorders>
              <w:tl2br w:val="nil"/>
              <w:tr2bl w:val="nil"/>
            </w:tcBorders>
            <w:vAlign w:val="center"/>
          </w:tcPr>
          <w:p w14:paraId="6351C2D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52ADC572">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rPr>
              <w:t>（</w:t>
            </w:r>
            <w:r>
              <w:rPr>
                <w:rFonts w:hint="eastAsia" w:ascii="华文中宋" w:hAnsi="华文中宋" w:eastAsia="华文中宋"/>
                <w:color w:val="000000"/>
                <w:spacing w:val="-23"/>
                <w:sz w:val="22"/>
                <w:szCs w:val="21"/>
              </w:rPr>
              <w:t>名称和版次）</w:t>
            </w:r>
          </w:p>
        </w:tc>
        <w:tc>
          <w:tcPr>
            <w:tcW w:w="3216" w:type="dxa"/>
            <w:gridSpan w:val="7"/>
            <w:tcBorders>
              <w:tl2br w:val="nil"/>
              <w:tr2bl w:val="nil"/>
            </w:tcBorders>
            <w:vAlign w:val="center"/>
          </w:tcPr>
          <w:p w14:paraId="6F7C777C">
            <w:pPr>
              <w:spacing w:line="260" w:lineRule="exact"/>
              <w:rPr>
                <w:rFonts w:hint="eastAsia" w:ascii="仿宋" w:hAnsi="仿宋" w:eastAsia="仿宋"/>
                <w:color w:val="000000"/>
                <w:sz w:val="21"/>
                <w:szCs w:val="21"/>
              </w:rPr>
            </w:pPr>
            <w:r>
              <w:rPr>
                <w:rFonts w:hint="eastAsia" w:ascii="仿宋" w:hAnsi="仿宋" w:eastAsia="仿宋" w:cstheme="minorEastAsia"/>
                <w:color w:val="000000" w:themeColor="text1"/>
                <w:sz w:val="21"/>
                <w:szCs w:val="21"/>
                <w14:textFill>
                  <w14:solidFill>
                    <w14:schemeClr w14:val="tx1"/>
                  </w14:solidFill>
                </w14:textFill>
              </w:rPr>
              <w:t>济南日报1版、2版（要闻版）</w:t>
            </w:r>
          </w:p>
        </w:tc>
        <w:tc>
          <w:tcPr>
            <w:tcW w:w="872" w:type="dxa"/>
            <w:tcBorders>
              <w:tl2br w:val="nil"/>
              <w:tr2bl w:val="nil"/>
            </w:tcBorders>
            <w:vAlign w:val="center"/>
          </w:tcPr>
          <w:p w14:paraId="1500BE6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发布日期</w:t>
            </w:r>
          </w:p>
        </w:tc>
        <w:tc>
          <w:tcPr>
            <w:tcW w:w="4221" w:type="dxa"/>
            <w:gridSpan w:val="6"/>
            <w:tcBorders>
              <w:tl2br w:val="nil"/>
              <w:tr2bl w:val="nil"/>
            </w:tcBorders>
            <w:vAlign w:val="center"/>
          </w:tcPr>
          <w:p w14:paraId="5895D7C6">
            <w:pPr>
              <w:spacing w:line="260" w:lineRule="exact"/>
              <w:rPr>
                <w:rFonts w:hint="eastAsia" w:ascii="方正仿宋_GB2312" w:hAnsi="仿宋"/>
                <w:color w:val="000000"/>
                <w:sz w:val="21"/>
                <w:szCs w:val="21"/>
              </w:rPr>
            </w:pPr>
            <w:r>
              <w:rPr>
                <w:rFonts w:hint="eastAsia" w:ascii="仿宋" w:hAnsi="仿宋" w:eastAsia="仿宋"/>
                <w:color w:val="000000" w:themeColor="text1"/>
                <w:sz w:val="21"/>
                <w:szCs w:val="21"/>
                <w14:textFill>
                  <w14:solidFill>
                    <w14:schemeClr w14:val="tx1"/>
                  </w14:solidFill>
                </w14:textFill>
              </w:rPr>
              <w:t>2025年3月27日—5月29日</w:t>
            </w:r>
          </w:p>
        </w:tc>
      </w:tr>
      <w:tr w14:paraId="2C0C3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504" w:type="dxa"/>
            <w:gridSpan w:val="3"/>
            <w:tcBorders>
              <w:tl2br w:val="nil"/>
              <w:tr2bl w:val="nil"/>
            </w:tcBorders>
            <w:vAlign w:val="center"/>
          </w:tcPr>
          <w:p w14:paraId="63F7267B">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新媒体</w:t>
            </w:r>
            <w:r>
              <w:rPr>
                <w:rFonts w:ascii="华文中宋" w:hAnsi="华文中宋" w:eastAsia="华文中宋"/>
                <w:color w:val="000000"/>
                <w:sz w:val="24"/>
                <w:szCs w:val="21"/>
              </w:rPr>
              <w:t>作品</w:t>
            </w:r>
          </w:p>
          <w:p w14:paraId="1B8C2955">
            <w:pPr>
              <w:spacing w:line="320" w:lineRule="exact"/>
              <w:jc w:val="center"/>
              <w:rPr>
                <w:rFonts w:hint="eastAsia" w:ascii="方正仿宋_GB2312" w:hAnsi="仿宋" w:eastAsia="华文中宋"/>
                <w:color w:val="000000"/>
                <w:szCs w:val="21"/>
              </w:rPr>
            </w:pPr>
            <w:r>
              <w:rPr>
                <w:rFonts w:hint="eastAsia" w:ascii="华文中宋" w:hAnsi="华文中宋" w:eastAsia="华文中宋"/>
                <w:color w:val="000000"/>
                <w:sz w:val="24"/>
                <w:szCs w:val="21"/>
              </w:rPr>
              <w:t>链接</w:t>
            </w:r>
          </w:p>
        </w:tc>
        <w:tc>
          <w:tcPr>
            <w:tcW w:w="5035" w:type="dxa"/>
            <w:gridSpan w:val="9"/>
            <w:tcBorders>
              <w:tl2br w:val="nil"/>
              <w:tr2bl w:val="nil"/>
            </w:tcBorders>
            <w:vAlign w:val="center"/>
          </w:tcPr>
          <w:p w14:paraId="6B1A63E3">
            <w:pPr>
              <w:spacing w:line="260" w:lineRule="exact"/>
              <w:rPr>
                <w:rFonts w:hint="eastAsia" w:ascii="仿宋" w:hAnsi="仿宋" w:eastAsia="仿宋" w:cs="仿宋"/>
                <w:color w:val="000000"/>
                <w:sz w:val="21"/>
                <w:szCs w:val="15"/>
              </w:rPr>
            </w:pPr>
            <w:r>
              <w:fldChar w:fldCharType="begin"/>
            </w:r>
            <w:r>
              <w:instrText xml:space="preserve"> HYPERLINK "https://appc.e23.cn/index.php?m=content&amp;c=index&amp;a=show&amp;catid=5663&amp;id=1426340" </w:instrText>
            </w:r>
            <w:r>
              <w:fldChar w:fldCharType="separate"/>
            </w:r>
            <w:r>
              <w:rPr>
                <w:rStyle w:val="9"/>
                <w:rFonts w:ascii="仿宋" w:hAnsi="仿宋" w:eastAsia="仿宋" w:cs="仿宋"/>
                <w:sz w:val="21"/>
                <w:szCs w:val="15"/>
              </w:rPr>
              <w:t>https://appc.e23.cn/index.php?m=content&amp;c=index&amp;a=show&amp;catid=5663&amp;id=1426340</w:t>
            </w:r>
            <w:r>
              <w:rPr>
                <w:rStyle w:val="9"/>
                <w:rFonts w:ascii="仿宋" w:hAnsi="仿宋" w:eastAsia="仿宋" w:cs="仿宋"/>
                <w:sz w:val="21"/>
                <w:szCs w:val="15"/>
              </w:rPr>
              <w:fldChar w:fldCharType="end"/>
            </w:r>
            <w:r>
              <w:rPr>
                <w:rFonts w:hint="eastAsia" w:ascii="仿宋" w:hAnsi="仿宋" w:eastAsia="仿宋" w:cs="仿宋"/>
                <w:color w:val="000000"/>
                <w:sz w:val="21"/>
                <w:szCs w:val="15"/>
              </w:rPr>
              <w:t>；</w:t>
            </w:r>
          </w:p>
          <w:p w14:paraId="6E76FCA4">
            <w:pPr>
              <w:spacing w:line="260" w:lineRule="exact"/>
              <w:rPr>
                <w:rFonts w:hint="eastAsia" w:ascii="仿宋" w:hAnsi="仿宋" w:eastAsia="仿宋" w:cs="仿宋"/>
                <w:color w:val="000000"/>
                <w:sz w:val="21"/>
                <w:szCs w:val="15"/>
              </w:rPr>
            </w:pPr>
            <w:r>
              <w:fldChar w:fldCharType="begin"/>
            </w:r>
            <w:r>
              <w:instrText xml:space="preserve"> HYPERLINK "https://appc.e23.cn/index.php?m=content&amp;c=index&amp;a=show&amp;catid=5663&amp;id=1446366" </w:instrText>
            </w:r>
            <w:r>
              <w:fldChar w:fldCharType="separate"/>
            </w:r>
            <w:r>
              <w:rPr>
                <w:rStyle w:val="9"/>
                <w:rFonts w:ascii="仿宋" w:hAnsi="仿宋" w:eastAsia="仿宋" w:cs="仿宋"/>
                <w:sz w:val="21"/>
                <w:szCs w:val="15"/>
              </w:rPr>
              <w:t>https://appc.e23.cn/index.php?m=content&amp;c=index&amp;a=show&amp;catid=5663&amp;id=1446366</w:t>
            </w:r>
            <w:r>
              <w:rPr>
                <w:rStyle w:val="9"/>
                <w:rFonts w:ascii="仿宋" w:hAnsi="仿宋" w:eastAsia="仿宋" w:cs="仿宋"/>
                <w:sz w:val="21"/>
                <w:szCs w:val="15"/>
              </w:rPr>
              <w:fldChar w:fldCharType="end"/>
            </w:r>
            <w:r>
              <w:rPr>
                <w:rFonts w:hint="eastAsia" w:ascii="仿宋" w:hAnsi="仿宋" w:eastAsia="仿宋" w:cs="仿宋"/>
                <w:color w:val="000000"/>
                <w:sz w:val="21"/>
                <w:szCs w:val="15"/>
              </w:rPr>
              <w:t>；</w:t>
            </w:r>
          </w:p>
          <w:p w14:paraId="65C6FF1C">
            <w:pPr>
              <w:spacing w:line="260" w:lineRule="exact"/>
              <w:rPr>
                <w:rFonts w:hint="eastAsia" w:ascii="华文中宋" w:hAnsi="华文中宋" w:eastAsia="华文中宋"/>
                <w:color w:val="000000"/>
                <w:sz w:val="28"/>
              </w:rPr>
            </w:pPr>
            <w:r>
              <w:fldChar w:fldCharType="begin"/>
            </w:r>
            <w:r>
              <w:instrText xml:space="preserve"> HYPERLINK "https://appc.e23.cn/index.php?m=content&amp;c=index&amp;a=show&amp;catid=5663&amp;id=1453220" </w:instrText>
            </w:r>
            <w:r>
              <w:fldChar w:fldCharType="separate"/>
            </w:r>
            <w:r>
              <w:rPr>
                <w:rStyle w:val="9"/>
                <w:rFonts w:ascii="仿宋" w:hAnsi="仿宋" w:eastAsia="仿宋" w:cs="仿宋"/>
                <w:sz w:val="21"/>
                <w:szCs w:val="15"/>
              </w:rPr>
              <w:t>https://appc.e23.cn/index.php?m=content&amp;c=index&amp;a=show&amp;catid=5663&amp;id=1453220</w:t>
            </w:r>
            <w:r>
              <w:rPr>
                <w:rStyle w:val="9"/>
                <w:rFonts w:ascii="仿宋" w:hAnsi="仿宋" w:eastAsia="仿宋" w:cs="仿宋"/>
                <w:sz w:val="21"/>
                <w:szCs w:val="15"/>
              </w:rPr>
              <w:fldChar w:fldCharType="end"/>
            </w:r>
            <w:r>
              <w:rPr>
                <w:rFonts w:hint="eastAsia" w:ascii="仿宋" w:hAnsi="仿宋" w:eastAsia="仿宋" w:cs="仿宋"/>
                <w:color w:val="000000"/>
                <w:sz w:val="21"/>
                <w:szCs w:val="15"/>
              </w:rPr>
              <w:t>。</w:t>
            </w:r>
          </w:p>
        </w:tc>
        <w:tc>
          <w:tcPr>
            <w:tcW w:w="1742" w:type="dxa"/>
            <w:gridSpan w:val="4"/>
            <w:tcBorders>
              <w:tl2br w:val="nil"/>
              <w:tr2bl w:val="nil"/>
            </w:tcBorders>
            <w:vAlign w:val="center"/>
          </w:tcPr>
          <w:p w14:paraId="1E35C5CB">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0FF1B073">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460AEBFE">
            <w:pPr>
              <w:spacing w:line="260" w:lineRule="exact"/>
              <w:rPr>
                <w:rFonts w:hint="eastAsia" w:ascii="仿宋" w:hAnsi="仿宋" w:eastAsia="仿宋"/>
                <w:color w:val="000000"/>
                <w:sz w:val="21"/>
                <w:szCs w:val="21"/>
              </w:rPr>
            </w:pPr>
            <w:r>
              <w:rPr>
                <w:rFonts w:hint="eastAsia" w:ascii="仿宋" w:hAnsi="仿宋" w:eastAsia="仿宋"/>
                <w:color w:val="000000"/>
                <w:sz w:val="21"/>
                <w:szCs w:val="21"/>
              </w:rPr>
              <w:t>否</w:t>
            </w:r>
          </w:p>
        </w:tc>
      </w:tr>
      <w:tr w14:paraId="35446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992" w:type="dxa"/>
            <w:tcBorders>
              <w:tl2br w:val="nil"/>
              <w:tr2bl w:val="nil"/>
            </w:tcBorders>
            <w:vAlign w:val="center"/>
          </w:tcPr>
          <w:p w14:paraId="6C7225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作</w:t>
            </w:r>
          </w:p>
          <w:p w14:paraId="720EA2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品</w:t>
            </w:r>
          </w:p>
          <w:p w14:paraId="3676BE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简</w:t>
            </w:r>
          </w:p>
          <w:p w14:paraId="047C8E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介</w:t>
            </w:r>
          </w:p>
        </w:tc>
        <w:tc>
          <w:tcPr>
            <w:tcW w:w="8821" w:type="dxa"/>
            <w:gridSpan w:val="16"/>
            <w:tcBorders>
              <w:tl2br w:val="nil"/>
              <w:tr2bl w:val="nil"/>
            </w:tcBorders>
            <w:vAlign w:val="center"/>
          </w:tcPr>
          <w:p w14:paraId="3963F381">
            <w:pPr>
              <w:spacing w:line="280" w:lineRule="exact"/>
              <w:ind w:firstLine="420" w:firstLineChars="200"/>
              <w:rPr>
                <w:rFonts w:hint="eastAsia" w:ascii="仿宋" w:hAnsi="仿宋" w:eastAsia="仿宋" w:cstheme="minorEastAsia"/>
                <w:sz w:val="21"/>
                <w:szCs w:val="21"/>
              </w:rPr>
            </w:pPr>
            <w:r>
              <w:rPr>
                <w:rFonts w:hint="eastAsia" w:ascii="仿宋" w:hAnsi="仿宋" w:eastAsia="仿宋" w:cstheme="minorEastAsia"/>
                <w:sz w:val="21"/>
                <w:szCs w:val="21"/>
              </w:rPr>
              <w:t>2025年开年伊始，济南市确定2025年为“项目提升年”，将项目建设作为经济和社会发展的总牵引。为创新做好经济报道，济南日报·爱济南第一时间特别策划“探项目看发展”大型采访活动，旨在以项目现场热火朝天的建设场景和建设进展激励全市上下干事创业、建设强省会的澎湃力量。采编过程和特点如下：</w:t>
            </w:r>
          </w:p>
          <w:p w14:paraId="4A816BF6">
            <w:pPr>
              <w:pStyle w:val="2"/>
              <w:spacing w:after="0" w:line="280" w:lineRule="exact"/>
              <w:ind w:firstLine="420" w:firstLineChars="200"/>
              <w:rPr>
                <w:rFonts w:hint="eastAsia" w:ascii="仿宋" w:hAnsi="仿宋" w:eastAsia="仿宋" w:cstheme="minorEastAsia"/>
                <w:sz w:val="21"/>
                <w:szCs w:val="21"/>
              </w:rPr>
            </w:pPr>
            <w:r>
              <w:rPr>
                <w:rFonts w:hint="eastAsia" w:ascii="仿宋" w:hAnsi="仿宋" w:eastAsia="仿宋" w:cstheme="minorEastAsia"/>
                <w:sz w:val="21"/>
                <w:szCs w:val="21"/>
              </w:rPr>
              <w:t>1、直击现场、规模宏大、采访深入：从3月中旬到5月底，历时两个多月，深入全市14个区县（功能区），对26个省、市、区重点项目进行现场探访报道。</w:t>
            </w:r>
          </w:p>
          <w:p w14:paraId="62179CE0">
            <w:pPr>
              <w:pStyle w:val="2"/>
              <w:spacing w:after="0" w:line="280" w:lineRule="exact"/>
              <w:ind w:firstLine="420" w:firstLineChars="200"/>
              <w:rPr>
                <w:rFonts w:hint="eastAsia" w:ascii="仿宋" w:hAnsi="仿宋" w:eastAsia="仿宋" w:cstheme="minorEastAsia"/>
                <w:sz w:val="21"/>
                <w:szCs w:val="21"/>
              </w:rPr>
            </w:pPr>
            <w:r>
              <w:rPr>
                <w:rFonts w:hint="eastAsia" w:ascii="仿宋" w:hAnsi="仿宋" w:eastAsia="仿宋" w:cstheme="minorEastAsia"/>
                <w:sz w:val="21"/>
                <w:szCs w:val="21"/>
              </w:rPr>
              <w:t>2、融媒手段、立体传播、全网发稿：报道采取文、图、视频、海报、长图等各种传播手段发稿，除在济南日报、爱济南客户端重点发布外，在学习强国、央视频、抖音、微信视频号、今日头条、百度、微博、澎湃新闻等平台全网分发。</w:t>
            </w:r>
          </w:p>
          <w:p w14:paraId="3EEA156B">
            <w:pPr>
              <w:spacing w:line="280" w:lineRule="exact"/>
              <w:ind w:firstLine="420" w:firstLineChars="200"/>
              <w:rPr>
                <w:rFonts w:hint="eastAsia" w:ascii="仿宋" w:hAnsi="仿宋" w:eastAsia="仿宋" w:cstheme="minorEastAsia"/>
                <w:sz w:val="21"/>
                <w:szCs w:val="21"/>
              </w:rPr>
            </w:pPr>
            <w:r>
              <w:rPr>
                <w:rFonts w:hint="eastAsia" w:ascii="仿宋" w:hAnsi="仿宋" w:eastAsia="仿宋" w:cstheme="minorEastAsia"/>
                <w:sz w:val="21"/>
                <w:szCs w:val="21"/>
              </w:rPr>
              <w:t>3、</w:t>
            </w:r>
            <w:r>
              <w:rPr>
                <w:rFonts w:hint="eastAsia" w:ascii="仿宋_GB2312" w:hAnsi="仿宋_GB2312" w:eastAsia="仿宋_GB2312" w:cs="仿宋_GB2312"/>
                <w:sz w:val="21"/>
                <w:szCs w:val="21"/>
              </w:rPr>
              <w:t>影响广泛、正能量转化为大流量：</w:t>
            </w:r>
            <w:r>
              <w:rPr>
                <w:rFonts w:hint="eastAsia" w:ascii="仿宋" w:hAnsi="仿宋" w:eastAsia="仿宋" w:cstheme="minorEastAsia"/>
                <w:sz w:val="21"/>
                <w:szCs w:val="21"/>
              </w:rPr>
              <w:t>该报道总计全网发稿450余篇，累计浏览量超过1600万次，产生重大社会反响，引发用户热烈互动，收获点赞、评论等正向反馈数万条，实现正能量转化为大流量。</w:t>
            </w:r>
          </w:p>
        </w:tc>
      </w:tr>
      <w:tr w14:paraId="1D7C9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6" w:hRule="exact"/>
        </w:trPr>
        <w:tc>
          <w:tcPr>
            <w:tcW w:w="992" w:type="dxa"/>
            <w:vMerge w:val="restart"/>
            <w:tcBorders>
              <w:tl2br w:val="nil"/>
              <w:tr2bl w:val="nil"/>
            </w:tcBorders>
            <w:vAlign w:val="center"/>
          </w:tcPr>
          <w:p w14:paraId="1D3374AF">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传</w:t>
            </w:r>
          </w:p>
          <w:p w14:paraId="5A1022CF">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播</w:t>
            </w:r>
          </w:p>
          <w:p w14:paraId="381432BF">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数</w:t>
            </w:r>
          </w:p>
          <w:p w14:paraId="79EB912A">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据</w:t>
            </w:r>
          </w:p>
        </w:tc>
        <w:tc>
          <w:tcPr>
            <w:tcW w:w="1400" w:type="dxa"/>
            <w:gridSpan w:val="5"/>
            <w:tcBorders>
              <w:tl2br w:val="nil"/>
              <w:tr2bl w:val="nil"/>
            </w:tcBorders>
            <w:vAlign w:val="center"/>
          </w:tcPr>
          <w:p w14:paraId="5D2CF8E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rPr>
              <w:t>全网传播量最高</w:t>
            </w:r>
            <w:r>
              <w:rPr>
                <w:rFonts w:hint="eastAsia" w:ascii="楷体" w:hAnsi="楷体" w:eastAsia="楷体" w:cs="楷体"/>
                <w:b/>
                <w:bCs/>
                <w:color w:val="000000"/>
                <w:sz w:val="24"/>
                <w:szCs w:val="18"/>
              </w:rPr>
              <w:t>平台</w:t>
            </w:r>
          </w:p>
          <w:p w14:paraId="2155D7D7">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楷体" w:hAnsi="楷体" w:eastAsia="楷体" w:cs="楷体"/>
                <w:b/>
                <w:bCs/>
                <w:color w:val="000000"/>
                <w:sz w:val="24"/>
                <w:szCs w:val="18"/>
              </w:rPr>
            </w:pPr>
            <w:r>
              <w:rPr>
                <w:rFonts w:hint="eastAsia" w:ascii="楷体" w:hAnsi="楷体" w:eastAsia="楷体" w:cs="楷体"/>
                <w:b/>
                <w:bCs/>
                <w:color w:val="000000"/>
                <w:sz w:val="24"/>
                <w:szCs w:val="18"/>
              </w:rPr>
              <w:t>发布链接</w:t>
            </w:r>
          </w:p>
        </w:tc>
        <w:tc>
          <w:tcPr>
            <w:tcW w:w="7421" w:type="dxa"/>
            <w:gridSpan w:val="11"/>
            <w:tcBorders>
              <w:tl2br w:val="nil"/>
              <w:tr2bl w:val="nil"/>
            </w:tcBorders>
            <w:vAlign w:val="center"/>
          </w:tcPr>
          <w:p w14:paraId="75461ABC">
            <w:pPr>
              <w:spacing w:line="280" w:lineRule="exact"/>
              <w:rPr>
                <w:rFonts w:hint="eastAsia" w:ascii="仿宋" w:hAnsi="仿宋" w:eastAsia="仿宋"/>
                <w:color w:val="000000"/>
                <w:szCs w:val="21"/>
              </w:rPr>
            </w:pPr>
            <w:r>
              <w:fldChar w:fldCharType="begin"/>
            </w:r>
            <w:r>
              <w:instrText xml:space="preserve"> HYPERLINK "https://appc.e23.cn/index.php?m=content&amp;c=index&amp;a=show&amp;catid=5663&amp;id=1453220" </w:instrText>
            </w:r>
            <w:r>
              <w:fldChar w:fldCharType="separate"/>
            </w:r>
            <w:r>
              <w:rPr>
                <w:rStyle w:val="9"/>
                <w:rFonts w:ascii="仿宋" w:hAnsi="仿宋" w:eastAsia="仿宋" w:cs="仿宋"/>
                <w:spacing w:val="-6"/>
                <w:sz w:val="21"/>
                <w:szCs w:val="21"/>
                <w:lang w:bidi="ar"/>
              </w:rPr>
              <w:t>https://appc.e23.cn/index.php?m=content&amp;c=index&amp;a=show&amp;catid=5663&amp;id=1453220</w:t>
            </w:r>
            <w:r>
              <w:rPr>
                <w:rStyle w:val="9"/>
                <w:rFonts w:ascii="仿宋" w:hAnsi="仿宋" w:eastAsia="仿宋" w:cs="仿宋"/>
                <w:spacing w:val="-6"/>
                <w:sz w:val="21"/>
                <w:szCs w:val="21"/>
                <w:lang w:bidi="ar"/>
              </w:rPr>
              <w:fldChar w:fldCharType="end"/>
            </w:r>
            <w:r>
              <w:rPr>
                <w:rFonts w:hint="eastAsia" w:ascii="仿宋" w:hAnsi="仿宋" w:eastAsia="仿宋" w:cs="仿宋"/>
                <w:color w:val="000000"/>
                <w:spacing w:val="-6"/>
                <w:sz w:val="21"/>
                <w:szCs w:val="21"/>
                <w:lang w:bidi="ar"/>
              </w:rPr>
              <w:t>。</w:t>
            </w:r>
          </w:p>
        </w:tc>
      </w:tr>
      <w:tr w14:paraId="6EF50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4ED3FD86">
            <w:pPr>
              <w:spacing w:line="320" w:lineRule="exact"/>
              <w:jc w:val="center"/>
              <w:rPr>
                <w:rFonts w:hint="eastAsia" w:ascii="华文中宋" w:hAnsi="华文中宋" w:eastAsia="华文中宋"/>
                <w:color w:val="000000"/>
                <w:sz w:val="28"/>
              </w:rPr>
            </w:pPr>
          </w:p>
        </w:tc>
        <w:tc>
          <w:tcPr>
            <w:tcW w:w="1400" w:type="dxa"/>
            <w:gridSpan w:val="5"/>
            <w:tcBorders>
              <w:tl2br w:val="nil"/>
              <w:tr2bl w:val="nil"/>
            </w:tcBorders>
            <w:vAlign w:val="center"/>
          </w:tcPr>
          <w:p w14:paraId="35B1EAED">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楷体" w:hAnsi="楷体" w:eastAsia="楷体" w:cs="楷体"/>
                <w:b/>
                <w:bCs/>
                <w:color w:val="000000"/>
                <w:sz w:val="21"/>
                <w:szCs w:val="21"/>
              </w:rPr>
            </w:pPr>
            <w:r>
              <w:rPr>
                <w:rFonts w:hint="eastAsia" w:ascii="楷体" w:hAnsi="楷体" w:eastAsia="楷体" w:cs="楷体"/>
                <w:b/>
                <w:bCs/>
                <w:color w:val="000000"/>
                <w:sz w:val="21"/>
                <w:szCs w:val="21"/>
              </w:rPr>
              <w:t>该平台</w:t>
            </w:r>
          </w:p>
          <w:p w14:paraId="058E597F">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楷体"/>
                <w:color w:val="000000"/>
                <w:sz w:val="21"/>
                <w:szCs w:val="21"/>
              </w:rPr>
            </w:pPr>
            <w:r>
              <w:rPr>
                <w:rFonts w:hint="eastAsia" w:ascii="楷体" w:hAnsi="楷体" w:eastAsia="楷体" w:cs="楷体"/>
                <w:b/>
                <w:bCs/>
                <w:color w:val="000000"/>
                <w:sz w:val="21"/>
                <w:szCs w:val="21"/>
              </w:rPr>
              <w:t>传播量</w:t>
            </w:r>
          </w:p>
        </w:tc>
        <w:tc>
          <w:tcPr>
            <w:tcW w:w="1323" w:type="dxa"/>
            <w:gridSpan w:val="2"/>
            <w:tcBorders>
              <w:tl2br w:val="nil"/>
              <w:tr2bl w:val="nil"/>
            </w:tcBorders>
            <w:vAlign w:val="center"/>
          </w:tcPr>
          <w:p w14:paraId="410C16FB">
            <w:pPr>
              <w:spacing w:line="240" w:lineRule="exact"/>
              <w:rPr>
                <w:rFonts w:hint="eastAsia" w:ascii="仿宋" w:hAnsi="仿宋" w:eastAsia="仿宋"/>
                <w:color w:val="000000"/>
                <w:sz w:val="21"/>
                <w:szCs w:val="21"/>
              </w:rPr>
            </w:pPr>
            <w:r>
              <w:rPr>
                <w:rFonts w:hint="eastAsia" w:ascii="仿宋" w:hAnsi="仿宋" w:eastAsia="仿宋"/>
                <w:color w:val="000000"/>
                <w:sz w:val="21"/>
                <w:szCs w:val="21"/>
              </w:rPr>
              <w:t>120万</w:t>
            </w:r>
          </w:p>
        </w:tc>
        <w:tc>
          <w:tcPr>
            <w:tcW w:w="1005" w:type="dxa"/>
            <w:gridSpan w:val="2"/>
            <w:tcBorders>
              <w:tl2br w:val="nil"/>
              <w:tr2bl w:val="nil"/>
            </w:tcBorders>
            <w:vAlign w:val="center"/>
          </w:tcPr>
          <w:p w14:paraId="07DA7DB8">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楷体" w:hAnsi="楷体" w:eastAsia="楷体" w:cs="楷体"/>
                <w:b/>
                <w:bCs/>
                <w:color w:val="000000"/>
                <w:sz w:val="21"/>
                <w:szCs w:val="21"/>
              </w:rPr>
            </w:pPr>
            <w:r>
              <w:rPr>
                <w:rFonts w:hint="eastAsia" w:ascii="楷体" w:hAnsi="楷体" w:eastAsia="楷体" w:cs="楷体"/>
                <w:b/>
                <w:bCs/>
                <w:color w:val="000000"/>
                <w:sz w:val="21"/>
                <w:szCs w:val="21"/>
              </w:rPr>
              <w:t>该平台</w:t>
            </w:r>
          </w:p>
          <w:p w14:paraId="6415A9D9">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olor w:val="000000"/>
                <w:sz w:val="21"/>
                <w:szCs w:val="21"/>
              </w:rPr>
            </w:pPr>
            <w:r>
              <w:rPr>
                <w:rFonts w:hint="eastAsia" w:ascii="楷体" w:hAnsi="楷体" w:eastAsia="楷体" w:cs="楷体"/>
                <w:b/>
                <w:bCs/>
                <w:color w:val="000000"/>
                <w:sz w:val="21"/>
                <w:szCs w:val="21"/>
              </w:rPr>
              <w:t>互动量</w:t>
            </w:r>
          </w:p>
        </w:tc>
        <w:tc>
          <w:tcPr>
            <w:tcW w:w="2439" w:type="dxa"/>
            <w:gridSpan w:val="4"/>
            <w:tcBorders>
              <w:tl2br w:val="nil"/>
              <w:tr2bl w:val="nil"/>
            </w:tcBorders>
            <w:vAlign w:val="center"/>
          </w:tcPr>
          <w:p w14:paraId="2E21D7E7">
            <w:pPr>
              <w:spacing w:line="240" w:lineRule="exact"/>
              <w:rPr>
                <w:rFonts w:hint="eastAsia" w:ascii="仿宋" w:hAnsi="仿宋" w:eastAsia="仿宋"/>
                <w:color w:val="000000"/>
                <w:sz w:val="21"/>
                <w:szCs w:val="21"/>
              </w:rPr>
            </w:pPr>
            <w:r>
              <w:rPr>
                <w:rFonts w:hint="eastAsia" w:ascii="仿宋" w:hAnsi="仿宋" w:eastAsia="仿宋"/>
                <w:color w:val="000000"/>
                <w:sz w:val="21"/>
                <w:szCs w:val="21"/>
              </w:rPr>
              <w:t>8600</w:t>
            </w:r>
          </w:p>
        </w:tc>
        <w:tc>
          <w:tcPr>
            <w:tcW w:w="1122" w:type="dxa"/>
            <w:gridSpan w:val="2"/>
            <w:tcBorders>
              <w:tl2br w:val="nil"/>
              <w:tr2bl w:val="nil"/>
            </w:tcBorders>
            <w:vAlign w:val="center"/>
          </w:tcPr>
          <w:p w14:paraId="63648C3D">
            <w:pPr>
              <w:keepNext w:val="0"/>
              <w:keepLines w:val="0"/>
              <w:pageBreakBefore w:val="0"/>
              <w:widowControl w:val="0"/>
              <w:kinsoku/>
              <w:wordWrap/>
              <w:overflowPunct/>
              <w:topLinePunct w:val="0"/>
              <w:autoSpaceDE/>
              <w:autoSpaceDN/>
              <w:bidi w:val="0"/>
              <w:adjustRightInd/>
              <w:snapToGrid/>
              <w:spacing w:after="0" w:line="240" w:lineRule="exact"/>
              <w:textAlignment w:val="auto"/>
              <w:rPr>
                <w:rFonts w:hint="eastAsia" w:ascii="仿宋" w:hAnsi="仿宋" w:eastAsia="仿宋"/>
                <w:color w:val="000000"/>
                <w:sz w:val="21"/>
                <w:szCs w:val="21"/>
              </w:rPr>
            </w:pPr>
            <w:r>
              <w:rPr>
                <w:rFonts w:hint="eastAsia" w:ascii="楷体" w:hAnsi="楷体" w:eastAsia="楷体" w:cs="楷体"/>
                <w:b/>
                <w:bCs/>
                <w:color w:val="000000"/>
                <w:sz w:val="21"/>
                <w:szCs w:val="21"/>
              </w:rPr>
              <w:t>全网总传播量（万）</w:t>
            </w:r>
          </w:p>
        </w:tc>
        <w:tc>
          <w:tcPr>
            <w:tcW w:w="1532" w:type="dxa"/>
            <w:tcBorders>
              <w:tl2br w:val="nil"/>
              <w:tr2bl w:val="nil"/>
            </w:tcBorders>
            <w:vAlign w:val="center"/>
          </w:tcPr>
          <w:p w14:paraId="2364D967">
            <w:pPr>
              <w:spacing w:line="240" w:lineRule="exact"/>
              <w:rPr>
                <w:rFonts w:hint="eastAsia" w:ascii="仿宋" w:hAnsi="仿宋" w:eastAsia="仿宋"/>
                <w:color w:val="000000"/>
                <w:sz w:val="21"/>
                <w:szCs w:val="21"/>
              </w:rPr>
            </w:pPr>
            <w:r>
              <w:rPr>
                <w:rFonts w:hint="eastAsia" w:ascii="仿宋" w:hAnsi="仿宋" w:eastAsia="仿宋"/>
                <w:color w:val="000000"/>
                <w:sz w:val="21"/>
                <w:szCs w:val="21"/>
              </w:rPr>
              <w:t>1600</w:t>
            </w:r>
            <w:bookmarkStart w:id="0" w:name="_GoBack"/>
            <w:bookmarkEnd w:id="0"/>
          </w:p>
        </w:tc>
      </w:tr>
      <w:tr w14:paraId="7685C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7" w:hRule="exact"/>
        </w:trPr>
        <w:tc>
          <w:tcPr>
            <w:tcW w:w="992" w:type="dxa"/>
            <w:tcBorders>
              <w:tl2br w:val="nil"/>
              <w:tr2bl w:val="nil"/>
            </w:tcBorders>
            <w:vAlign w:val="center"/>
          </w:tcPr>
          <w:p w14:paraId="48C267C0">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rPr>
            </w:pPr>
            <w:r>
              <w:rPr>
                <w:rFonts w:hint="eastAsia" w:ascii="华文中宋" w:hAnsi="华文中宋" w:eastAsia="华文中宋"/>
                <w:sz w:val="28"/>
              </w:rPr>
              <w:t xml:space="preserve">  ︵</w:t>
            </w:r>
          </w:p>
          <w:p w14:paraId="6512FC0D">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rPr>
            </w:pPr>
            <w:r>
              <w:rPr>
                <w:rFonts w:hint="eastAsia" w:ascii="华文中宋" w:hAnsi="华文中宋" w:eastAsia="华文中宋"/>
                <w:sz w:val="28"/>
              </w:rPr>
              <w:t>初推</w:t>
            </w:r>
          </w:p>
          <w:p w14:paraId="245C6D9E">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rPr>
            </w:pPr>
            <w:r>
              <w:rPr>
                <w:rFonts w:hint="eastAsia" w:ascii="华文中宋" w:hAnsi="华文中宋" w:eastAsia="华文中宋"/>
                <w:sz w:val="28"/>
              </w:rPr>
              <w:t>评荐</w:t>
            </w:r>
          </w:p>
          <w:p w14:paraId="08E619A6">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rPr>
            </w:pPr>
            <w:r>
              <w:rPr>
                <w:rFonts w:hint="eastAsia" w:ascii="华文中宋" w:hAnsi="华文中宋" w:eastAsia="华文中宋"/>
                <w:sz w:val="28"/>
              </w:rPr>
              <w:t>评理</w:t>
            </w:r>
          </w:p>
          <w:p w14:paraId="7E72A136">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rPr>
            </w:pPr>
            <w:r>
              <w:rPr>
                <w:rFonts w:hint="eastAsia" w:ascii="华文中宋" w:hAnsi="华文中宋" w:eastAsia="华文中宋"/>
                <w:sz w:val="28"/>
              </w:rPr>
              <w:t>语由</w:t>
            </w:r>
          </w:p>
          <w:p w14:paraId="0E9F7F65">
            <w:pPr>
              <w:spacing w:line="240" w:lineRule="exact"/>
              <w:jc w:val="center"/>
              <w:rPr>
                <w:rFonts w:hint="eastAsia" w:ascii="华文中宋" w:hAnsi="华文中宋" w:eastAsia="华文中宋"/>
                <w:color w:val="000000"/>
                <w:sz w:val="28"/>
              </w:rPr>
            </w:pPr>
            <w:r>
              <w:rPr>
                <w:rFonts w:hint="eastAsia" w:ascii="华文中宋" w:hAnsi="华文中宋" w:eastAsia="华文中宋"/>
                <w:sz w:val="28"/>
              </w:rPr>
              <w:t xml:space="preserve">  ︶</w:t>
            </w:r>
          </w:p>
        </w:tc>
        <w:tc>
          <w:tcPr>
            <w:tcW w:w="8821" w:type="dxa"/>
            <w:gridSpan w:val="16"/>
            <w:tcBorders>
              <w:tl2br w:val="nil"/>
              <w:tr2bl w:val="nil"/>
            </w:tcBorders>
            <w:vAlign w:val="center"/>
          </w:tcPr>
          <w:p w14:paraId="120602E7">
            <w:pPr>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该报道活动政治站位高，精心策划，持续深入一线项目现场采访，新闻鲜活，内容丰富，浓墨重彩地报道了济南市经济建设过程中所取得的最新成果，形成“政府点赞、企业认可、群众关注”的传播效果，为建设强省会注入强劲舆论动能。</w:t>
            </w:r>
          </w:p>
          <w:p w14:paraId="0BAA039B">
            <w:pPr>
              <w:spacing w:line="240" w:lineRule="exact"/>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145900D1">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35810B8C">
            <w:pPr>
              <w:rPr>
                <w:rFonts w:hint="eastAsia" w:ascii="华文中宋" w:hAnsi="华文中宋" w:eastAsia="华文中宋"/>
                <w:color w:val="000000"/>
                <w:sz w:val="28"/>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p w14:paraId="32A4C77C">
            <w:pPr>
              <w:rPr>
                <w:rFonts w:hint="eastAsia" w:ascii="华文中宋" w:hAnsi="华文中宋" w:eastAsia="华文中宋"/>
                <w:color w:val="000000"/>
                <w:sz w:val="28"/>
              </w:rPr>
            </w:pPr>
          </w:p>
        </w:tc>
      </w:tr>
      <w:tr w14:paraId="5FBB2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9813" w:type="dxa"/>
            <w:gridSpan w:val="17"/>
            <w:tcBorders>
              <w:tl2br w:val="nil"/>
              <w:tr2bl w:val="nil"/>
            </w:tcBorders>
            <w:vAlign w:val="center"/>
          </w:tcPr>
          <w:p w14:paraId="04417F3E">
            <w:pPr>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25905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298EC76E">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65859FC0">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680" w:type="dxa"/>
            <w:gridSpan w:val="12"/>
            <w:tcBorders>
              <w:tl2br w:val="nil"/>
              <w:tr2bl w:val="nil"/>
            </w:tcBorders>
            <w:vAlign w:val="center"/>
          </w:tcPr>
          <w:p w14:paraId="524E6BF4">
            <w:pPr>
              <w:spacing w:line="240" w:lineRule="exact"/>
              <w:rPr>
                <w:rFonts w:hint="eastAsia" w:ascii="仿宋" w:hAnsi="仿宋" w:eastAsia="仿宋"/>
                <w:sz w:val="21"/>
                <w:szCs w:val="21"/>
              </w:rPr>
            </w:pPr>
            <w:r>
              <w:rPr>
                <w:rFonts w:hint="eastAsia" w:ascii="仿宋" w:hAnsi="仿宋" w:eastAsia="仿宋"/>
                <w:sz w:val="21"/>
                <w:szCs w:val="21"/>
              </w:rPr>
              <w:t>山东好新闻二等奖</w:t>
            </w:r>
          </w:p>
        </w:tc>
      </w:tr>
      <w:tr w14:paraId="5F24C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restart"/>
            <w:tcBorders>
              <w:tl2br w:val="nil"/>
              <w:tr2bl w:val="nil"/>
            </w:tcBorders>
            <w:vAlign w:val="center"/>
          </w:tcPr>
          <w:p w14:paraId="2E3424C4">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华文中宋" w:hAnsi="华文中宋" w:eastAsia="华文中宋"/>
                <w:sz w:val="28"/>
                <w:szCs w:val="28"/>
              </w:rPr>
            </w:pPr>
            <w:r>
              <w:rPr>
                <w:rFonts w:hint="eastAsia" w:ascii="华文中宋" w:hAnsi="华文中宋" w:eastAsia="华文中宋"/>
                <w:sz w:val="28"/>
                <w:szCs w:val="28"/>
              </w:rPr>
              <w:t>推</w:t>
            </w:r>
          </w:p>
          <w:p w14:paraId="217349E6">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华文中宋" w:hAnsi="华文中宋" w:eastAsia="华文中宋"/>
                <w:sz w:val="28"/>
                <w:szCs w:val="28"/>
              </w:rPr>
            </w:pPr>
            <w:r>
              <w:rPr>
                <w:rFonts w:hint="eastAsia" w:ascii="华文中宋" w:hAnsi="华文中宋" w:eastAsia="华文中宋"/>
                <w:sz w:val="28"/>
                <w:szCs w:val="28"/>
              </w:rPr>
              <w:t>荐</w:t>
            </w:r>
          </w:p>
          <w:p w14:paraId="5EE6B619">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华文中宋" w:hAnsi="华文中宋" w:eastAsia="华文中宋"/>
                <w:sz w:val="28"/>
                <w:szCs w:val="28"/>
              </w:rPr>
            </w:pPr>
            <w:r>
              <w:rPr>
                <w:rFonts w:hint="eastAsia" w:ascii="华文中宋" w:hAnsi="华文中宋" w:eastAsia="华文中宋"/>
                <w:sz w:val="28"/>
                <w:szCs w:val="28"/>
              </w:rPr>
              <w:t>人</w:t>
            </w:r>
          </w:p>
        </w:tc>
        <w:tc>
          <w:tcPr>
            <w:tcW w:w="893" w:type="dxa"/>
            <w:gridSpan w:val="3"/>
            <w:tcBorders>
              <w:tl2br w:val="nil"/>
              <w:tr2bl w:val="nil"/>
            </w:tcBorders>
            <w:vAlign w:val="center"/>
          </w:tcPr>
          <w:p w14:paraId="53E4CA1A">
            <w:pPr>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vAlign w:val="center"/>
          </w:tcPr>
          <w:p w14:paraId="0B2A2C4D">
            <w:pPr>
              <w:spacing w:line="240" w:lineRule="exact"/>
              <w:jc w:val="center"/>
              <w:rPr>
                <w:rFonts w:hint="eastAsia" w:ascii="仿宋" w:hAnsi="仿宋" w:eastAsia="仿宋"/>
                <w:sz w:val="21"/>
                <w:szCs w:val="21"/>
              </w:rPr>
            </w:pPr>
            <w:r>
              <w:rPr>
                <w:rFonts w:hint="eastAsia" w:ascii="仿宋" w:hAnsi="仿宋" w:eastAsia="仿宋"/>
                <w:sz w:val="21"/>
                <w:szCs w:val="21"/>
              </w:rPr>
              <w:t>逄金一</w:t>
            </w:r>
          </w:p>
        </w:tc>
        <w:tc>
          <w:tcPr>
            <w:tcW w:w="1176" w:type="dxa"/>
            <w:gridSpan w:val="2"/>
            <w:tcBorders>
              <w:tl2br w:val="nil"/>
              <w:tr2bl w:val="nil"/>
            </w:tcBorders>
            <w:vAlign w:val="center"/>
          </w:tcPr>
          <w:p w14:paraId="6BF24C2E">
            <w:pPr>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059" w:type="dxa"/>
            <w:gridSpan w:val="4"/>
            <w:tcBorders>
              <w:tl2br w:val="nil"/>
              <w:tr2bl w:val="nil"/>
            </w:tcBorders>
            <w:vAlign w:val="center"/>
          </w:tcPr>
          <w:p w14:paraId="4961621E">
            <w:pPr>
              <w:spacing w:line="240" w:lineRule="exact"/>
              <w:jc w:val="center"/>
              <w:rPr>
                <w:rFonts w:hint="eastAsia" w:ascii="仿宋" w:hAnsi="仿宋" w:eastAsia="仿宋"/>
                <w:sz w:val="21"/>
                <w:szCs w:val="21"/>
              </w:rPr>
            </w:pPr>
            <w:r>
              <w:rPr>
                <w:rFonts w:hint="eastAsia" w:ascii="仿宋" w:hAnsi="仿宋" w:eastAsia="仿宋"/>
                <w:sz w:val="21"/>
                <w:szCs w:val="21"/>
              </w:rPr>
              <w:t>济南日报报业集团高级编辑</w:t>
            </w:r>
          </w:p>
        </w:tc>
        <w:tc>
          <w:tcPr>
            <w:tcW w:w="874" w:type="dxa"/>
            <w:gridSpan w:val="2"/>
            <w:tcBorders>
              <w:tl2br w:val="nil"/>
              <w:tr2bl w:val="nil"/>
            </w:tcBorders>
            <w:vAlign w:val="center"/>
          </w:tcPr>
          <w:p w14:paraId="37FDF7D5">
            <w:pPr>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vAlign w:val="center"/>
          </w:tcPr>
          <w:p w14:paraId="2519858A">
            <w:pPr>
              <w:spacing w:line="240" w:lineRule="exact"/>
              <w:rPr>
                <w:rFonts w:hint="eastAsia" w:ascii="仿宋" w:hAnsi="仿宋" w:eastAsia="仿宋"/>
                <w:sz w:val="21"/>
                <w:szCs w:val="21"/>
              </w:rPr>
            </w:pPr>
            <w:r>
              <w:rPr>
                <w:rFonts w:hint="eastAsia" w:ascii="仿宋" w:hAnsi="仿宋" w:eastAsia="仿宋"/>
                <w:sz w:val="21"/>
                <w:szCs w:val="21"/>
              </w:rPr>
              <w:t>13465409701</w:t>
            </w:r>
          </w:p>
        </w:tc>
      </w:tr>
      <w:tr w14:paraId="0610E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continue"/>
            <w:tcBorders>
              <w:tl2br w:val="nil"/>
              <w:tr2bl w:val="nil"/>
            </w:tcBorders>
            <w:vAlign w:val="center"/>
          </w:tcPr>
          <w:p w14:paraId="21D2EF15">
            <w:pPr>
              <w:autoSpaceDE w:val="0"/>
              <w:autoSpaceDN w:val="0"/>
              <w:adjustRightInd w:val="0"/>
              <w:spacing w:line="240" w:lineRule="exact"/>
            </w:pPr>
          </w:p>
        </w:tc>
        <w:tc>
          <w:tcPr>
            <w:tcW w:w="893" w:type="dxa"/>
            <w:gridSpan w:val="3"/>
            <w:tcBorders>
              <w:tl2br w:val="nil"/>
              <w:tr2bl w:val="nil"/>
            </w:tcBorders>
            <w:vAlign w:val="center"/>
          </w:tcPr>
          <w:p w14:paraId="342ABB17">
            <w:pPr>
              <w:spacing w:line="320" w:lineRule="exact"/>
              <w:jc w:val="cente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vAlign w:val="center"/>
          </w:tcPr>
          <w:p w14:paraId="66583F9D">
            <w:pPr>
              <w:spacing w:line="340" w:lineRule="exact"/>
              <w:jc w:val="center"/>
              <w:rPr>
                <w:rFonts w:hint="eastAsia" w:ascii="仿宋" w:hAnsi="仿宋" w:eastAsia="仿宋"/>
                <w:sz w:val="21"/>
                <w:szCs w:val="21"/>
              </w:rPr>
            </w:pPr>
            <w:r>
              <w:rPr>
                <w:rFonts w:hint="eastAsia" w:ascii="仿宋" w:hAnsi="仿宋" w:eastAsia="仿宋" w:cs="宋体"/>
                <w:sz w:val="21"/>
                <w:szCs w:val="21"/>
              </w:rPr>
              <w:t>杨齐虹</w:t>
            </w:r>
          </w:p>
        </w:tc>
        <w:tc>
          <w:tcPr>
            <w:tcW w:w="1176" w:type="dxa"/>
            <w:gridSpan w:val="2"/>
            <w:tcBorders>
              <w:tl2br w:val="nil"/>
              <w:tr2bl w:val="nil"/>
            </w:tcBorders>
            <w:vAlign w:val="center"/>
          </w:tcPr>
          <w:p w14:paraId="628D5734">
            <w:pPr>
              <w:spacing w:line="340" w:lineRule="exact"/>
              <w:jc w:val="center"/>
            </w:pPr>
            <w:r>
              <w:rPr>
                <w:rFonts w:hint="eastAsia" w:ascii="华文中宋" w:hAnsi="华文中宋" w:eastAsia="华文中宋" w:cs="华文中宋"/>
                <w:color w:val="000000"/>
                <w:sz w:val="28"/>
                <w:lang w:bidi="ar"/>
              </w:rPr>
              <w:t>单位及职称</w:t>
            </w:r>
          </w:p>
        </w:tc>
        <w:tc>
          <w:tcPr>
            <w:tcW w:w="2059" w:type="dxa"/>
            <w:gridSpan w:val="4"/>
            <w:tcBorders>
              <w:tl2br w:val="nil"/>
              <w:tr2bl w:val="nil"/>
            </w:tcBorders>
            <w:vAlign w:val="center"/>
          </w:tcPr>
          <w:p w14:paraId="635758AE">
            <w:pPr>
              <w:spacing w:line="340" w:lineRule="exact"/>
              <w:jc w:val="center"/>
              <w:rPr>
                <w:rFonts w:hint="eastAsia" w:ascii="仿宋" w:hAnsi="仿宋" w:eastAsia="仿宋"/>
                <w:sz w:val="21"/>
                <w:szCs w:val="21"/>
              </w:rPr>
            </w:pPr>
            <w:r>
              <w:rPr>
                <w:rFonts w:hint="eastAsia" w:ascii="仿宋" w:hAnsi="仿宋" w:eastAsia="仿宋"/>
                <w:sz w:val="21"/>
                <w:szCs w:val="21"/>
              </w:rPr>
              <w:t>济南日报报业集团高级记者</w:t>
            </w:r>
          </w:p>
        </w:tc>
        <w:tc>
          <w:tcPr>
            <w:tcW w:w="874" w:type="dxa"/>
            <w:gridSpan w:val="2"/>
            <w:tcBorders>
              <w:tl2br w:val="nil"/>
              <w:tr2bl w:val="nil"/>
            </w:tcBorders>
            <w:vAlign w:val="center"/>
          </w:tcPr>
          <w:p w14:paraId="28F1EF8B">
            <w:pPr>
              <w:spacing w:line="340" w:lineRule="exact"/>
              <w:jc w:val="cente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vAlign w:val="center"/>
          </w:tcPr>
          <w:p w14:paraId="647F6349">
            <w:pPr>
              <w:spacing w:line="240" w:lineRule="exact"/>
              <w:rPr>
                <w:rFonts w:hint="eastAsia" w:ascii="仿宋" w:hAnsi="仿宋" w:eastAsia="仿宋"/>
                <w:sz w:val="21"/>
                <w:szCs w:val="21"/>
              </w:rPr>
            </w:pPr>
            <w:r>
              <w:rPr>
                <w:rFonts w:hint="eastAsia" w:ascii="仿宋" w:hAnsi="仿宋" w:eastAsia="仿宋"/>
                <w:sz w:val="21"/>
                <w:szCs w:val="21"/>
              </w:rPr>
              <w:t>18660419836</w:t>
            </w:r>
          </w:p>
        </w:tc>
      </w:tr>
      <w:tr w14:paraId="025E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514BB93E">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自荐人</w:t>
            </w:r>
          </w:p>
          <w:p w14:paraId="610E50F8">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姓名</w:t>
            </w:r>
          </w:p>
        </w:tc>
        <w:tc>
          <w:tcPr>
            <w:tcW w:w="1368" w:type="dxa"/>
            <w:gridSpan w:val="2"/>
            <w:tcBorders>
              <w:tl2br w:val="nil"/>
              <w:tr2bl w:val="nil"/>
            </w:tcBorders>
            <w:vAlign w:val="center"/>
          </w:tcPr>
          <w:p w14:paraId="7D4524F0">
            <w:pPr>
              <w:spacing w:line="340" w:lineRule="exact"/>
              <w:jc w:val="center"/>
              <w:rPr>
                <w:rFonts w:hint="eastAsia" w:ascii="仿宋" w:hAnsi="仿宋" w:eastAsia="仿宋"/>
                <w:color w:val="000000"/>
                <w:sz w:val="21"/>
                <w:szCs w:val="21"/>
              </w:rPr>
            </w:pPr>
            <w:r>
              <w:rPr>
                <w:rFonts w:hint="eastAsia" w:ascii="仿宋" w:hAnsi="仿宋" w:eastAsia="仿宋"/>
                <w:color w:val="000000"/>
                <w:sz w:val="21"/>
                <w:szCs w:val="21"/>
              </w:rPr>
              <w:t>胡思永</w:t>
            </w:r>
          </w:p>
        </w:tc>
        <w:tc>
          <w:tcPr>
            <w:tcW w:w="1176" w:type="dxa"/>
            <w:gridSpan w:val="2"/>
            <w:tcBorders>
              <w:tl2br w:val="nil"/>
              <w:tr2bl w:val="nil"/>
            </w:tcBorders>
            <w:vAlign w:val="center"/>
          </w:tcPr>
          <w:p w14:paraId="60A70C2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2059" w:type="dxa"/>
            <w:gridSpan w:val="4"/>
            <w:tcBorders>
              <w:tl2br w:val="nil"/>
              <w:tr2bl w:val="nil"/>
            </w:tcBorders>
            <w:vAlign w:val="center"/>
          </w:tcPr>
          <w:p w14:paraId="03898BC9">
            <w:pPr>
              <w:spacing w:line="340" w:lineRule="exact"/>
              <w:jc w:val="center"/>
              <w:rPr>
                <w:rFonts w:hint="eastAsia" w:ascii="仿宋" w:hAnsi="仿宋" w:eastAsia="仿宋"/>
                <w:color w:val="000000"/>
                <w:sz w:val="21"/>
                <w:szCs w:val="21"/>
              </w:rPr>
            </w:pPr>
            <w:r>
              <w:rPr>
                <w:rFonts w:hint="eastAsia" w:ascii="仿宋" w:hAnsi="仿宋" w:eastAsia="仿宋" w:cstheme="minorEastAsia"/>
                <w:color w:val="000000" w:themeColor="text1"/>
                <w:sz w:val="21"/>
                <w:szCs w:val="21"/>
                <w14:textFill>
                  <w14:solidFill>
                    <w14:schemeClr w14:val="tx1"/>
                  </w14:solidFill>
                </w14:textFill>
              </w:rPr>
              <w:t>13065039632</w:t>
            </w:r>
          </w:p>
        </w:tc>
        <w:tc>
          <w:tcPr>
            <w:tcW w:w="874" w:type="dxa"/>
            <w:gridSpan w:val="2"/>
            <w:tcBorders>
              <w:tl2br w:val="nil"/>
              <w:tr2bl w:val="nil"/>
            </w:tcBorders>
            <w:vAlign w:val="center"/>
          </w:tcPr>
          <w:p w14:paraId="4EC4552B">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2203" w:type="dxa"/>
            <w:gridSpan w:val="2"/>
            <w:tcBorders>
              <w:tl2br w:val="nil"/>
              <w:tr2bl w:val="nil"/>
            </w:tcBorders>
            <w:vAlign w:val="center"/>
          </w:tcPr>
          <w:p w14:paraId="5D042078">
            <w:pPr>
              <w:spacing w:line="240" w:lineRule="exact"/>
              <w:rPr>
                <w:rFonts w:hint="eastAsia" w:ascii="仿宋" w:hAnsi="仿宋" w:eastAsia="仿宋"/>
                <w:color w:val="000000"/>
                <w:sz w:val="21"/>
                <w:szCs w:val="21"/>
              </w:rPr>
            </w:pPr>
            <w:r>
              <w:rPr>
                <w:rFonts w:hint="eastAsia" w:ascii="仿宋" w:hAnsi="仿宋" w:eastAsia="仿宋"/>
                <w:color w:val="000000" w:themeColor="text1"/>
                <w:sz w:val="21"/>
                <w:szCs w:val="21"/>
                <w14:textFill>
                  <w14:solidFill>
                    <w14:schemeClr w14:val="tx1"/>
                  </w14:solidFill>
                </w14:textFill>
              </w:rPr>
              <w:t>0531—67976378</w:t>
            </w:r>
          </w:p>
        </w:tc>
      </w:tr>
      <w:tr w14:paraId="20986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6" w:hRule="exact"/>
          <w:jc w:val="center"/>
        </w:trPr>
        <w:tc>
          <w:tcPr>
            <w:tcW w:w="1647" w:type="dxa"/>
            <w:gridSpan w:val="4"/>
            <w:tcBorders>
              <w:tl2br w:val="nil"/>
              <w:tr2bl w:val="nil"/>
            </w:tcBorders>
            <w:vAlign w:val="center"/>
          </w:tcPr>
          <w:p w14:paraId="00F66505">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审核</w:t>
            </w:r>
          </w:p>
          <w:p w14:paraId="078E2978">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p w14:paraId="73D990FD">
            <w:pPr>
              <w:spacing w:line="380" w:lineRule="exact"/>
              <w:jc w:val="center"/>
              <w:rPr>
                <w:rFonts w:hint="eastAsia" w:ascii="华文中宋" w:hAnsi="华文中宋" w:eastAsia="华文中宋"/>
                <w:color w:val="000000"/>
                <w:sz w:val="24"/>
                <w:szCs w:val="24"/>
              </w:rPr>
            </w:pPr>
            <w:r>
              <w:rPr>
                <w:rFonts w:hint="eastAsia" w:ascii="华文中宋" w:hAnsi="华文中宋" w:eastAsia="华文中宋"/>
                <w:color w:val="000000"/>
                <w:sz w:val="28"/>
              </w:rPr>
              <w:t>意见</w:t>
            </w:r>
          </w:p>
        </w:tc>
        <w:tc>
          <w:tcPr>
            <w:tcW w:w="8166" w:type="dxa"/>
            <w:gridSpan w:val="13"/>
            <w:tcBorders>
              <w:tl2br w:val="nil"/>
              <w:tr2bl w:val="nil"/>
            </w:tcBorders>
            <w:vAlign w:val="center"/>
          </w:tcPr>
          <w:p w14:paraId="7C9C3405">
            <w:pPr>
              <w:spacing w:line="240" w:lineRule="exact"/>
              <w:rPr>
                <w:rFonts w:hint="eastAsia" w:ascii="仿宋" w:hAnsi="仿宋" w:eastAsia="仿宋"/>
                <w:b/>
                <w:color w:val="000000"/>
                <w:szCs w:val="21"/>
              </w:rPr>
            </w:pPr>
          </w:p>
          <w:p w14:paraId="0F84AED0">
            <w:pPr>
              <w:spacing w:line="240" w:lineRule="exact"/>
              <w:rPr>
                <w:rFonts w:hint="eastAsia" w:ascii="仿宋" w:hAnsi="仿宋" w:eastAsia="仿宋"/>
                <w:b/>
                <w:color w:val="000000"/>
                <w:szCs w:val="21"/>
              </w:rPr>
            </w:pPr>
          </w:p>
          <w:p w14:paraId="726A75EC">
            <w:pPr>
              <w:ind w:firstLine="422"/>
              <w:rPr>
                <w:rFonts w:hint="eastAsia" w:ascii="仿宋" w:hAnsi="仿宋" w:eastAsia="仿宋" w:cs="仿宋"/>
                <w:color w:val="000000"/>
                <w:sz w:val="24"/>
                <w:szCs w:val="18"/>
              </w:rPr>
            </w:pPr>
          </w:p>
          <w:p w14:paraId="793ADEEF">
            <w:pPr>
              <w:ind w:firstLine="422"/>
              <w:rPr>
                <w:rFonts w:hint="eastAsia" w:ascii="仿宋" w:hAnsi="仿宋" w:eastAsia="仿宋" w:cs="仿宋"/>
                <w:color w:val="000000"/>
                <w:sz w:val="24"/>
                <w:szCs w:val="18"/>
              </w:rPr>
            </w:pPr>
          </w:p>
          <w:p w14:paraId="62876EEF">
            <w:pPr>
              <w:ind w:firstLine="3600" w:firstLineChars="1500"/>
              <w:rPr>
                <w:rFonts w:hint="eastAsia" w:ascii="仿宋" w:hAnsi="仿宋" w:eastAsia="仿宋" w:cs="仿宋"/>
                <w:color w:val="000000"/>
                <w:sz w:val="24"/>
                <w:szCs w:val="18"/>
              </w:rPr>
            </w:pPr>
            <w:r>
              <w:rPr>
                <w:rFonts w:hint="eastAsia" w:ascii="仿宋" w:hAnsi="仿宋" w:eastAsia="仿宋" w:cs="仿宋"/>
                <w:color w:val="000000"/>
                <w:sz w:val="24"/>
                <w:szCs w:val="18"/>
              </w:rPr>
              <w:t>（加盖单位公章）</w:t>
            </w:r>
          </w:p>
          <w:p w14:paraId="00B7A743">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年   月   日</w:t>
            </w:r>
          </w:p>
        </w:tc>
      </w:tr>
    </w:tbl>
    <w:p w14:paraId="10A99ABC">
      <w:r>
        <w:rPr>
          <w:rFonts w:hint="eastAsia" w:ascii="楷体" w:hAnsi="楷体" w:eastAsia="楷体"/>
          <w:color w:val="000000"/>
          <w:sz w:val="28"/>
          <w:szCs w:val="28"/>
        </w:rPr>
        <w:t>此表可从中国记协网www.zgjx.cn下载。</w:t>
      </w:r>
    </w:p>
    <w:sectPr>
      <w:headerReference r:id="rId5" w:type="default"/>
      <w:pgSz w:w="11906" w:h="16838"/>
      <w:pgMar w:top="1417" w:right="1361" w:bottom="1417"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65AC4A9-61EE-43DF-89B6-B107427C8405}"/>
  </w:font>
  <w:font w:name="宋体">
    <w:panose1 w:val="02010600030101010101"/>
    <w:charset w:val="86"/>
    <w:family w:val="auto"/>
    <w:pitch w:val="default"/>
    <w:sig w:usb0="00000203" w:usb1="288F0000" w:usb2="00000006" w:usb3="00000000" w:csb0="00040001" w:csb1="00000000"/>
    <w:embedRegular r:id="rId2" w:fontKey="{BC2496F6-B414-41CF-9F1A-BDEF8953C91D}"/>
  </w:font>
  <w:font w:name="Wingdings">
    <w:panose1 w:val="05000000000000000000"/>
    <w:charset w:val="02"/>
    <w:family w:val="auto"/>
    <w:pitch w:val="default"/>
    <w:sig w:usb0="00000000" w:usb1="00000000" w:usb2="00000000" w:usb3="00000000" w:csb0="80000000" w:csb1="00000000"/>
    <w:embedRegular r:id="rId3" w:fontKey="{0230BAF9-FE7A-44E1-BD2D-52740CBCBF71}"/>
  </w:font>
  <w:font w:name="Arial">
    <w:panose1 w:val="020B0604020202020204"/>
    <w:charset w:val="01"/>
    <w:family w:val="swiss"/>
    <w:pitch w:val="default"/>
    <w:sig w:usb0="E0002EFF" w:usb1="C000785B" w:usb2="00000009" w:usb3="00000000" w:csb0="400001FF" w:csb1="FFFF0000"/>
    <w:embedRegular r:id="rId4" w:fontKey="{F5BCA4EC-A710-4881-80F0-197FBE818565}"/>
  </w:font>
  <w:font w:name="黑体">
    <w:panose1 w:val="02010609060101010101"/>
    <w:charset w:val="86"/>
    <w:family w:val="auto"/>
    <w:pitch w:val="default"/>
    <w:sig w:usb0="800002BF" w:usb1="38CF7CFA" w:usb2="00000016" w:usb3="00000000" w:csb0="00040001" w:csb1="00000000"/>
    <w:embedRegular r:id="rId5" w:fontKey="{09086F72-7E50-45F6-B25A-41512B230338}"/>
  </w:font>
  <w:font w:name="Courier New">
    <w:panose1 w:val="02070309020205020404"/>
    <w:charset w:val="01"/>
    <w:family w:val="modern"/>
    <w:pitch w:val="default"/>
    <w:sig w:usb0="E0002EFF" w:usb1="C0007843" w:usb2="00000009" w:usb3="00000000" w:csb0="400001FF" w:csb1="FFFF0000"/>
    <w:embedRegular r:id="rId6" w:fontKey="{783DE9CC-FE8E-4F82-AD52-BAEC731F0AF5}"/>
  </w:font>
  <w:font w:name="Symbol">
    <w:panose1 w:val="05050102010706020507"/>
    <w:charset w:val="02"/>
    <w:family w:val="roman"/>
    <w:pitch w:val="default"/>
    <w:sig w:usb0="00000000" w:usb1="00000000" w:usb2="00000000" w:usb3="00000000" w:csb0="80000000" w:csb1="00000000"/>
    <w:embedRegular r:id="rId7" w:fontKey="{0022CC7B-3EE7-4FD0-9CCB-D968DA93A2CE}"/>
  </w:font>
  <w:font w:name="Calibri">
    <w:panose1 w:val="020F0502020204030204"/>
    <w:charset w:val="00"/>
    <w:family w:val="swiss"/>
    <w:pitch w:val="default"/>
    <w:sig w:usb0="E4002EFF" w:usb1="C200247B" w:usb2="00000009" w:usb3="00000000" w:csb0="200001FF" w:csb1="00000000"/>
    <w:embedRegular r:id="rId8" w:fontKey="{1A5F35D5-EFE7-4C3C-B44B-35B0E6BFA942}"/>
  </w:font>
  <w:font w:name="方正仿宋_GB2312">
    <w:panose1 w:val="02000000000000000000"/>
    <w:charset w:val="86"/>
    <w:family w:val="auto"/>
    <w:pitch w:val="default"/>
    <w:sig w:usb0="A00002BF" w:usb1="184F6CFA" w:usb2="00000012" w:usb3="00000000" w:csb0="00040001" w:csb1="00000000"/>
    <w:embedRegular r:id="rId9" w:fontKey="{E57F5A76-5355-41B0-8B37-8E8B7F1AA10F}"/>
  </w:font>
  <w:font w:name="文星标宋">
    <w:panose1 w:val="02010609000101010101"/>
    <w:charset w:val="86"/>
    <w:family w:val="auto"/>
    <w:pitch w:val="default"/>
    <w:sig w:usb0="00000001" w:usb1="080E0000" w:usb2="00000000" w:usb3="00000000" w:csb0="00040000" w:csb1="00000000"/>
    <w:embedRegular r:id="rId10" w:fontKey="{C423B6BF-8BD3-40C0-9C34-DD32252D300D}"/>
  </w:font>
  <w:font w:name="华文中宋">
    <w:panose1 w:val="02010600040101010101"/>
    <w:charset w:val="86"/>
    <w:family w:val="auto"/>
    <w:pitch w:val="default"/>
    <w:sig w:usb0="00000287" w:usb1="080F0000" w:usb2="00000000" w:usb3="00000000" w:csb0="0004009F" w:csb1="DFD70000"/>
    <w:embedRegular r:id="rId11" w:fontKey="{56ED9957-CBF6-4914-BE3F-694C59EFB397}"/>
  </w:font>
  <w:font w:name="仿宋">
    <w:panose1 w:val="02010609060101010101"/>
    <w:charset w:val="86"/>
    <w:family w:val="modern"/>
    <w:pitch w:val="default"/>
    <w:sig w:usb0="800002BF" w:usb1="38CF7CFA" w:usb2="00000016" w:usb3="00000000" w:csb0="00040001" w:csb1="00000000"/>
    <w:embedRegular r:id="rId12" w:fontKey="{236C9E00-8795-4567-9982-62A7C5C0D671}"/>
  </w:font>
  <w:font w:name="仿宋_GB2312">
    <w:panose1 w:val="02010609030101010101"/>
    <w:charset w:val="86"/>
    <w:family w:val="auto"/>
    <w:pitch w:val="default"/>
    <w:sig w:usb0="00000001" w:usb1="080E0000" w:usb2="00000000" w:usb3="00000000" w:csb0="00040000" w:csb1="00000000"/>
    <w:embedRegular r:id="rId13" w:fontKey="{B3CBD7D4-7A8F-43D8-97E1-13C63AC2580A}"/>
  </w:font>
  <w:font w:name="楷体">
    <w:panose1 w:val="02010609060101010101"/>
    <w:charset w:val="86"/>
    <w:family w:val="modern"/>
    <w:pitch w:val="default"/>
    <w:sig w:usb0="800002BF" w:usb1="38CF7CFA" w:usb2="00000016" w:usb3="00000000" w:csb0="00040001" w:csb1="00000000"/>
    <w:embedRegular r:id="rId14" w:fontKey="{8474E111-B1A7-4893-A14C-49986E3B8A3B}"/>
  </w:font>
  <w:font w:name="WPSEMBED1">
    <w:panose1 w:val="02000000000000000000"/>
    <w:charset w:val="86"/>
    <w:family w:val="auto"/>
    <w:pitch w:val="default"/>
    <w:sig w:usb0="A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81609">
    <w:pPr>
      <w:pStyle w:val="3"/>
      <w:spacing w:after="0" w:line="320" w:lineRule="exact"/>
      <w:ind w:firstLine="602"/>
      <w:rPr>
        <w:rFonts w:hint="eastAsia"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71A"/>
    <w:rsid w:val="00024311"/>
    <w:rsid w:val="001463AB"/>
    <w:rsid w:val="00190C1B"/>
    <w:rsid w:val="0029054E"/>
    <w:rsid w:val="002E6591"/>
    <w:rsid w:val="0034181A"/>
    <w:rsid w:val="00396D26"/>
    <w:rsid w:val="003F4564"/>
    <w:rsid w:val="00467BFD"/>
    <w:rsid w:val="004D0E95"/>
    <w:rsid w:val="004D3F9A"/>
    <w:rsid w:val="00552BD6"/>
    <w:rsid w:val="0062671A"/>
    <w:rsid w:val="007D5124"/>
    <w:rsid w:val="007E33B0"/>
    <w:rsid w:val="00907756"/>
    <w:rsid w:val="009B7BE0"/>
    <w:rsid w:val="00C56C5C"/>
    <w:rsid w:val="00CD05FC"/>
    <w:rsid w:val="00D73DF2"/>
    <w:rsid w:val="00DD2E20"/>
    <w:rsid w:val="00DE0FD3"/>
    <w:rsid w:val="00F40A9C"/>
    <w:rsid w:val="00F82C00"/>
    <w:rsid w:val="00FF71DE"/>
    <w:rsid w:val="08A557F0"/>
    <w:rsid w:val="103E4A53"/>
    <w:rsid w:val="17E67F0C"/>
    <w:rsid w:val="277D46DD"/>
    <w:rsid w:val="291819B2"/>
    <w:rsid w:val="29403185"/>
    <w:rsid w:val="33363900"/>
    <w:rsid w:val="350B4894"/>
    <w:rsid w:val="4CA94913"/>
    <w:rsid w:val="5D250E1A"/>
    <w:rsid w:val="6B1E4A0F"/>
    <w:rsid w:val="6F32335E"/>
    <w:rsid w:val="70CD2B43"/>
    <w:rsid w:val="73F26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eastAsia="方正仿宋_GB2312" w:asciiTheme="minorHAnsi" w:hAnsiTheme="minorHAnsi" w:cstheme="minorBidi"/>
      <w:kern w:val="2"/>
      <w:sz w:val="3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pPr>
      <w:spacing w:after="120"/>
    </w:pPr>
  </w:style>
  <w:style w:type="paragraph" w:styleId="3">
    <w:name w:val="Body Text 3"/>
    <w:basedOn w:val="1"/>
    <w:unhideWhenUsed/>
    <w:qFormat/>
    <w:uiPriority w:val="99"/>
    <w:pPr>
      <w:spacing w:after="120"/>
    </w:pPr>
    <w:rPr>
      <w:sz w:val="16"/>
      <w:szCs w:val="16"/>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qFormat/>
    <w:uiPriority w:val="0"/>
    <w:rPr>
      <w:color w:val="7E1FAD" w:themeColor="followedHyperlink"/>
      <w:u w:val="single"/>
      <w14:textFill>
        <w14:solidFill>
          <w14:schemeClr w14:val="folHlink"/>
        </w14:solidFill>
      </w14:textFill>
    </w:rPr>
  </w:style>
  <w:style w:type="character" w:styleId="9">
    <w:name w:val="Hyperlink"/>
    <w:basedOn w:val="7"/>
    <w:qFormat/>
    <w:uiPriority w:val="0"/>
    <w:rPr>
      <w:color w:val="0026E5" w:themeColor="hyperlink"/>
      <w:u w:val="single"/>
      <w14:textFill>
        <w14:solidFill>
          <w14:schemeClr w14:val="hlink"/>
        </w14:solidFill>
      </w14:textFill>
    </w:rPr>
  </w:style>
  <w:style w:type="character" w:customStyle="1" w:styleId="10">
    <w:name w:val="页脚 字符"/>
    <w:basedOn w:val="7"/>
    <w:link w:val="4"/>
    <w:qFormat/>
    <w:uiPriority w:val="0"/>
    <w:rPr>
      <w:rFonts w:eastAsia="方正仿宋_GB2312"/>
      <w:kern w:val="2"/>
      <w:sz w:val="18"/>
      <w:szCs w:val="18"/>
    </w:rPr>
  </w:style>
  <w:style w:type="character" w:customStyle="1" w:styleId="11">
    <w:name w:val="正文文本 字符"/>
    <w:basedOn w:val="7"/>
    <w:link w:val="2"/>
    <w:qFormat/>
    <w:uiPriority w:val="0"/>
    <w:rPr>
      <w:rFonts w:eastAsia="方正仿宋_GB2312"/>
      <w:kern w:val="2"/>
      <w:sz w:val="32"/>
      <w:szCs w:val="22"/>
    </w:rPr>
  </w:style>
  <w:style w:type="character" w:customStyle="1" w:styleId="12">
    <w:name w:val="未处理的提及1"/>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885</Words>
  <Characters>1270</Characters>
  <Lines>125</Lines>
  <Paragraphs>147</Paragraphs>
  <TotalTime>69</TotalTime>
  <ScaleCrop>false</ScaleCrop>
  <LinksUpToDate>false</LinksUpToDate>
  <CharactersWithSpaces>1413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2026-04-07T06:18:00Z</dcterms:created>
  <dc:creator>EDY</dc:creator>
  <cp:lastModifiedBy>听香水榭</cp:lastModifiedBy>
  <dcterms:modified xsi:type="dcterms:W3CDTF">2026-05-13T12:31:31Z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eyJoZGlkIjoiOGRkZmYwYjIxMTI5ODNhN2YxMzRiMjlhNTc1NmQwMDkiLCJ1c2VySWQiOiI2MTM5NTk2MzcifQ==</vt:lpwstr>
  </property>
  <property fmtid="{D5CDD505-2E9C-101B-9397-08002B2CF9AE}" pid="4" name="ICV">
    <vt:lpwstr>D1E8F804244740EF9C47E280E765C5A0_12</vt:lpwstr>
  </property>
</Properties>
</file>